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C1D" w:rsidRDefault="00F96C1D" w:rsidP="00FE4106">
      <w:pPr>
        <w:jc w:val="center"/>
        <w:rPr>
          <w:b/>
          <w:szCs w:val="28"/>
        </w:rPr>
      </w:pPr>
    </w:p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18"/>
        <w:gridCol w:w="3368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D31D1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BB4372">
              <w:rPr>
                <w:sz w:val="24"/>
                <w:szCs w:val="24"/>
              </w:rPr>
              <w:t>2</w:t>
            </w:r>
            <w:r w:rsidR="00D31D1E">
              <w:rPr>
                <w:sz w:val="24"/>
                <w:szCs w:val="24"/>
              </w:rPr>
              <w:t>8</w:t>
            </w:r>
            <w:r w:rsidRPr="00B2673D">
              <w:rPr>
                <w:sz w:val="24"/>
                <w:szCs w:val="24"/>
              </w:rPr>
              <w:t xml:space="preserve">» </w:t>
            </w:r>
            <w:r w:rsidR="00D31D1E">
              <w:rPr>
                <w:sz w:val="24"/>
                <w:szCs w:val="24"/>
              </w:rPr>
              <w:t>марта</w:t>
            </w:r>
            <w:r w:rsidR="00BB4372">
              <w:rPr>
                <w:sz w:val="24"/>
                <w:szCs w:val="24"/>
              </w:rPr>
              <w:t xml:space="preserve"> </w:t>
            </w:r>
            <w:r w:rsidRPr="00B2673D">
              <w:rPr>
                <w:sz w:val="24"/>
                <w:szCs w:val="24"/>
              </w:rPr>
              <w:t>20</w:t>
            </w:r>
            <w:r w:rsidR="00F96C1D">
              <w:rPr>
                <w:sz w:val="24"/>
                <w:szCs w:val="24"/>
              </w:rPr>
              <w:t xml:space="preserve">25 </w:t>
            </w:r>
            <w:r w:rsidRPr="00B2673D">
              <w:rPr>
                <w:sz w:val="24"/>
                <w:szCs w:val="24"/>
              </w:rPr>
              <w:t>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F96C1D">
        <w:rPr>
          <w:color w:val="0070C0"/>
        </w:rPr>
        <w:t>открытые конкурентные переговоры</w:t>
      </w:r>
    </w:p>
    <w:p w:rsidR="00625762" w:rsidRPr="00B2673D" w:rsidRDefault="002A48AF" w:rsidP="00D42D40">
      <w:pPr>
        <w:pStyle w:val="aff4"/>
        <w:spacing w:before="60" w:after="60"/>
        <w:ind w:left="0" w:firstLine="709"/>
        <w:contextualSpacing w:val="0"/>
        <w:jc w:val="both"/>
      </w:pPr>
      <w:r w:rsidRPr="00B2673D">
        <w:rPr>
          <w:i/>
          <w:color w:val="0070C0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F96C1D">
        <w:rPr>
          <w:i/>
          <w:color w:val="4F81BD" w:themeColor="accent1"/>
        </w:rPr>
        <w:t>АО «ТСК»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F96C1D" w:rsidRPr="00F96C1D">
        <w:rPr>
          <w:color w:val="0070C0"/>
        </w:rPr>
        <w:t>www.zakupki.gov.ru</w:t>
      </w:r>
      <w:r w:rsidR="00D8235E" w:rsidRPr="00B2673D">
        <w:rPr>
          <w:color w:val="0070C0"/>
        </w:rPr>
        <w:t xml:space="preserve">, </w:t>
      </w:r>
      <w:r w:rsidR="00D8235E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r w:rsidR="00F96C1D" w:rsidRPr="00F96C1D">
        <w:rPr>
          <w:color w:val="0070C0"/>
        </w:rPr>
        <w:t>«Сбербанк-АСТ» utp.sberbank-ast.ru</w:t>
      </w:r>
      <w:r w:rsidR="00F96C1D">
        <w:rPr>
          <w:color w:val="0070C0"/>
        </w:rPr>
        <w:t>.</w:t>
      </w:r>
    </w:p>
    <w:p w:rsidR="00881310" w:rsidRPr="00B2673D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proofErr w:type="gramStart"/>
      <w:r w:rsidR="001B6E02" w:rsidRPr="001B6E02">
        <w:rPr>
          <w:color w:val="000000"/>
        </w:rPr>
        <w:t>В</w:t>
      </w:r>
      <w:proofErr w:type="gramEnd"/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9541C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Место нахождения: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9541CC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color w:val="548DD4"/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1052D7" w:rsidRPr="001052D7" w:rsidRDefault="001052D7" w:rsidP="001052D7">
      <w:pPr>
        <w:pStyle w:val="af8"/>
        <w:tabs>
          <w:tab w:val="left" w:pos="1134"/>
        </w:tabs>
        <w:spacing w:before="0" w:line="240" w:lineRule="auto"/>
        <w:ind w:left="709"/>
        <w:rPr>
          <w:sz w:val="24"/>
        </w:rPr>
      </w:pPr>
      <w:r w:rsidRPr="00B2673D">
        <w:rPr>
          <w:sz w:val="24"/>
        </w:rPr>
        <w:t>Контактное лицо:</w:t>
      </w:r>
      <w:r w:rsidRPr="001052D7">
        <w:rPr>
          <w:sz w:val="24"/>
        </w:rPr>
        <w:t xml:space="preserve"> </w:t>
      </w:r>
      <w:r>
        <w:rPr>
          <w:color w:val="548DD4"/>
          <w:sz w:val="24"/>
        </w:rPr>
        <w:t>Руцкая Ирина Владимировна</w:t>
      </w:r>
      <w:r w:rsidRPr="005F659C">
        <w:rPr>
          <w:color w:val="548DD4"/>
          <w:sz w:val="24"/>
        </w:rPr>
        <w:t xml:space="preserve"> – </w:t>
      </w:r>
      <w:r>
        <w:rPr>
          <w:color w:val="548DD4"/>
          <w:sz w:val="24"/>
        </w:rPr>
        <w:t>инженер производственно-технического отдела</w:t>
      </w:r>
      <w:r w:rsidRPr="005F659C">
        <w:rPr>
          <w:color w:val="548DD4"/>
          <w:sz w:val="24"/>
        </w:rPr>
        <w:t xml:space="preserve"> АО «ТСК».</w:t>
      </w:r>
    </w:p>
    <w:p w:rsidR="00106E7B" w:rsidRPr="00B2673D" w:rsidRDefault="00106E7B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F96C1D" w:rsidRPr="00F96C1D">
        <w:rPr>
          <w:color w:val="548DD4"/>
          <w:sz w:val="24"/>
        </w:rPr>
        <w:t>+7(82142)7-9</w:t>
      </w:r>
      <w:r w:rsidR="00270A68">
        <w:rPr>
          <w:color w:val="548DD4"/>
          <w:sz w:val="24"/>
        </w:rPr>
        <w:t>9</w:t>
      </w:r>
      <w:r w:rsidR="00F96C1D" w:rsidRPr="00F96C1D">
        <w:rPr>
          <w:color w:val="548DD4"/>
          <w:sz w:val="24"/>
        </w:rPr>
        <w:t>-</w:t>
      </w:r>
      <w:r w:rsidR="00270A68">
        <w:rPr>
          <w:color w:val="548DD4"/>
          <w:sz w:val="24"/>
        </w:rPr>
        <w:t>87</w:t>
      </w:r>
    </w:p>
    <w:p w:rsidR="00E145B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8" w:history="1">
        <w:r w:rsidR="005F659C" w:rsidRPr="005F659C">
          <w:rPr>
            <w:rStyle w:val="a8"/>
            <w:sz w:val="24"/>
          </w:rPr>
          <w:t>rutskaya_iv@interrao.ru</w:t>
        </w:r>
      </w:hyperlink>
    </w:p>
    <w:p w:rsidR="00761AEB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F96C1D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F96C1D">
        <w:rPr>
          <w:sz w:val="24"/>
        </w:rPr>
        <w:t>АО «Тепловая сервисная компания»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Место нахождения:</w:t>
      </w:r>
      <w:r w:rsidR="00F96C1D" w:rsidRPr="00F96C1D">
        <w:rPr>
          <w:sz w:val="24"/>
        </w:rPr>
        <w:t xml:space="preserve"> 169600, Республика Коми, г. Печора, ул. Советская, д. 37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sz w:val="24"/>
        </w:rPr>
        <w:t>169600, Республика Коми, г. Печора, ул. Советская, д. 37</w:t>
      </w:r>
    </w:p>
    <w:p w:rsidR="004465FD" w:rsidRPr="00B2673D" w:rsidRDefault="004465FD" w:rsidP="005F659C">
      <w:pPr>
        <w:pStyle w:val="af8"/>
        <w:tabs>
          <w:tab w:val="left" w:pos="709"/>
        </w:tabs>
        <w:spacing w:before="0" w:line="240" w:lineRule="auto"/>
        <w:ind w:left="709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5F659C" w:rsidRPr="005F659C">
        <w:rPr>
          <w:color w:val="548DD4"/>
          <w:sz w:val="24"/>
        </w:rPr>
        <w:t>Воробьева Виолетта Юрьевна – ведущий специалист по комплектации оборудования АО «ТСК».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F96C1D" w:rsidRPr="00F96C1D">
        <w:rPr>
          <w:sz w:val="24"/>
        </w:rPr>
        <w:t>+7(82142)7-9</w:t>
      </w:r>
      <w:r w:rsidR="00270A68">
        <w:rPr>
          <w:sz w:val="24"/>
        </w:rPr>
        <w:t>1</w:t>
      </w:r>
      <w:r w:rsidR="00F96C1D" w:rsidRPr="00F96C1D">
        <w:rPr>
          <w:sz w:val="24"/>
        </w:rPr>
        <w:t>-</w:t>
      </w:r>
      <w:r w:rsidR="00270A68">
        <w:rPr>
          <w:sz w:val="24"/>
        </w:rPr>
        <w:t>30</w:t>
      </w:r>
    </w:p>
    <w:p w:rsidR="00106E7B" w:rsidRPr="00B2673D" w:rsidRDefault="00106E7B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9" w:history="1">
        <w:r w:rsidR="005F659C" w:rsidRPr="00F96C1D">
          <w:rPr>
            <w:rStyle w:val="a8"/>
            <w:sz w:val="24"/>
          </w:rPr>
          <w:t>vorobeva_vy@interrao.ru</w:t>
        </w:r>
      </w:hyperlink>
      <w:r w:rsidR="005F659C" w:rsidRPr="00B2673D">
        <w:rPr>
          <w:sz w:val="24"/>
        </w:rPr>
        <w:t xml:space="preserve"> </w:t>
      </w:r>
    </w:p>
    <w:p w:rsidR="00096391" w:rsidRPr="00B2673D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</w:pPr>
      <w:r w:rsidRPr="00B2673D">
        <w:t xml:space="preserve">Краткое описание предмета закупки: В соответствии с разделом 6 «Техническая часть» </w:t>
      </w:r>
      <w:r w:rsidRPr="00B2673D">
        <w:lastRenderedPageBreak/>
        <w:t>Закупочной документации.</w:t>
      </w:r>
    </w:p>
    <w:p w:rsidR="003842A8" w:rsidRPr="00514C3C" w:rsidRDefault="00B54AEB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t>Предмет договора:</w:t>
      </w:r>
      <w:r w:rsidR="00F634D7">
        <w:t xml:space="preserve"> </w:t>
      </w:r>
      <w:r w:rsidR="00F96C1D">
        <w:rPr>
          <w:i/>
          <w:color w:val="548DD4"/>
        </w:rPr>
        <w:t xml:space="preserve">Поставка </w:t>
      </w:r>
      <w:r w:rsidR="00D31D1E">
        <w:rPr>
          <w:i/>
          <w:color w:val="548DD4"/>
        </w:rPr>
        <w:t>запасных частей к насосам</w:t>
      </w:r>
      <w:r w:rsidR="00533C8D" w:rsidRPr="00514C3C">
        <w:rPr>
          <w:i/>
          <w:color w:val="548DD4"/>
        </w:rPr>
        <w:t>.</w:t>
      </w:r>
    </w:p>
    <w:p w:rsidR="00CA310F" w:rsidRPr="00F634D7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  <w:r w:rsidR="00F634D7">
        <w:t xml:space="preserve"> </w:t>
      </w:r>
      <w:r w:rsidR="002A48AF" w:rsidRPr="00F634D7">
        <w:t>в соответствии с разделом 6 «Техническая часть» Закупочной документации</w:t>
      </w:r>
      <w:r w:rsidR="00E3134D">
        <w:t>.</w:t>
      </w:r>
    </w:p>
    <w:p w:rsidR="00E819F8" w:rsidRPr="00B2673D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625762" w:rsidRPr="00E3134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A48AF" w:rsidRPr="00E3134D">
        <w:rPr>
          <w:rStyle w:val="FontStyle128"/>
          <w:sz w:val="24"/>
          <w:szCs w:val="24"/>
        </w:rPr>
        <w:t>в соответствии с разделом 6 «Техническая часть» Закупочной документации</w:t>
      </w:r>
      <w:r w:rsidR="00E3134D" w:rsidRPr="00E3134D">
        <w:rPr>
          <w:rStyle w:val="FontStyle128"/>
          <w:sz w:val="24"/>
          <w:szCs w:val="24"/>
        </w:rPr>
        <w:t>.</w:t>
      </w:r>
    </w:p>
    <w:p w:rsidR="00F15A75" w:rsidRPr="00E3134D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  <w:r w:rsidR="00F15A75" w:rsidRPr="00E3134D">
        <w:t xml:space="preserve"> в соответствии с разделом 6 «Техническая часть» Закупочной документации.</w:t>
      </w:r>
    </w:p>
    <w:p w:rsidR="00881310" w:rsidRPr="00B2673D" w:rsidRDefault="00881310" w:rsidP="00D31D1E">
      <w:pPr>
        <w:pStyle w:val="aff4"/>
        <w:numPr>
          <w:ilvl w:val="1"/>
          <w:numId w:val="8"/>
        </w:numPr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D31D1E" w:rsidRPr="00D31D1E">
        <w:rPr>
          <w:b/>
          <w:color w:val="548DD4"/>
        </w:rPr>
        <w:t>613</w:t>
      </w:r>
      <w:r w:rsidR="00D31D1E">
        <w:rPr>
          <w:b/>
          <w:color w:val="548DD4"/>
        </w:rPr>
        <w:t xml:space="preserve"> </w:t>
      </w:r>
      <w:r w:rsidR="00D31D1E" w:rsidRPr="00D31D1E">
        <w:rPr>
          <w:b/>
          <w:color w:val="548DD4"/>
        </w:rPr>
        <w:t>058,12</w:t>
      </w:r>
      <w:r w:rsidRPr="009B5A8D">
        <w:rPr>
          <w:color w:val="548DD4"/>
        </w:rPr>
        <w:t xml:space="preserve"> </w:t>
      </w:r>
      <w:r w:rsidRPr="009B5A8D">
        <w:rPr>
          <w:b/>
          <w:color w:val="548DD4"/>
        </w:rPr>
        <w:t>без НДС</w:t>
      </w:r>
      <w:r w:rsidR="009B5A8D" w:rsidRPr="009B5A8D">
        <w:rPr>
          <w:b/>
          <w:i/>
          <w:color w:val="548DD4"/>
        </w:rPr>
        <w:t>.</w:t>
      </w:r>
    </w:p>
    <w:p w:rsidR="00881310" w:rsidRPr="009B5A8D" w:rsidRDefault="00881310" w:rsidP="004A53E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обязательств, связанных с подачей заявки на участие в закупке:</w:t>
      </w:r>
      <w:r w:rsidR="009B5A8D">
        <w:t xml:space="preserve"> </w:t>
      </w:r>
      <w:r w:rsidRPr="009B5A8D">
        <w:rPr>
          <w:i/>
          <w:color w:val="548DD4"/>
        </w:rPr>
        <w:t>не требуется</w:t>
      </w:r>
      <w:r w:rsidR="009B5A8D">
        <w:rPr>
          <w:i/>
          <w:color w:val="548DD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 xml:space="preserve">в соответствии с требованиями, установленными в </w:t>
      </w:r>
      <w:r w:rsidR="004D604B">
        <w:rPr>
          <w:rStyle w:val="FontStyle128"/>
          <w:sz w:val="24"/>
          <w:szCs w:val="24"/>
        </w:rPr>
        <w:t>Закупоч</w:t>
      </w:r>
      <w:r w:rsidR="00A57645" w:rsidRPr="00B2673D">
        <w:rPr>
          <w:rStyle w:val="FontStyle128"/>
          <w:sz w:val="24"/>
          <w:szCs w:val="24"/>
        </w:rPr>
        <w:t>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B2673D">
        <w:rPr>
          <w:i/>
          <w:color w:val="548DD4"/>
        </w:rPr>
        <w:t>в соответствии с разделом </w:t>
      </w:r>
      <w:r w:rsidR="008D0F51" w:rsidRPr="00B2673D">
        <w:rPr>
          <w:i/>
          <w:color w:val="548DD4"/>
        </w:rPr>
        <w:t>6</w:t>
      </w:r>
      <w:r w:rsidRPr="00B2673D">
        <w:rPr>
          <w:i/>
          <w:color w:val="548DD4"/>
        </w:rPr>
        <w:t xml:space="preserve"> «Техническая часть»</w:t>
      </w:r>
      <w:r w:rsidR="00C54650" w:rsidRPr="00B2673D">
        <w:rPr>
          <w:i/>
          <w:color w:val="548DD4"/>
        </w:rPr>
        <w:t xml:space="preserve"> Закупочной документации</w:t>
      </w:r>
      <w:r w:rsidR="009B5A8D">
        <w:rPr>
          <w:i/>
          <w:color w:val="548DD4"/>
        </w:rPr>
        <w:t>.</w:t>
      </w:r>
      <w:r w:rsidR="00C54650" w:rsidRPr="00B2673D">
        <w:rPr>
          <w:i/>
          <w:color w:val="548DD4"/>
        </w:rPr>
        <w:t xml:space="preserve"> 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FC2DAC">
        <w:rPr>
          <w:b/>
          <w:bCs/>
        </w:rPr>
        <w:t>невозможно</w:t>
      </w:r>
    </w:p>
    <w:p w:rsidR="00F15A75" w:rsidRPr="00B2673D" w:rsidRDefault="00772B74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bookmarkStart w:id="3" w:name="_Toc170127762"/>
      <w:bookmarkStart w:id="4" w:name="_Ref170128607"/>
      <w:bookmarkStart w:id="5" w:name="_Ref170128990"/>
      <w:bookmarkStart w:id="6" w:name="_Toc524680342"/>
      <w:bookmarkStart w:id="7" w:name="_Toc524680538"/>
      <w:bookmarkStart w:id="8" w:name="_Toc524680736"/>
      <w:bookmarkStart w:id="9" w:name="_Ref177634192"/>
      <w:bookmarkStart w:id="10" w:name="_Ref177655291"/>
      <w:bookmarkStart w:id="11" w:name="_Toc184154972"/>
      <w:bookmarkStart w:id="12" w:name="_Ref188456627"/>
      <w:bookmarkStart w:id="13" w:name="_Hlk188472398"/>
      <w:r w:rsidRPr="00772B74">
        <w:t xml:space="preserve">Сведения о предоставлении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772B74">
        <w:t>национального режима:</w:t>
      </w:r>
      <w:r w:rsidRPr="00754FAE">
        <w:t xml:space="preserve"> </w:t>
      </w:r>
      <w:r>
        <w:t xml:space="preserve">предоставляется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</w:t>
      </w:r>
      <w:r w:rsidRPr="00754FAE">
        <w:t xml:space="preserve">в соответствии с Постановлением Правительства Российской Федерации от </w:t>
      </w:r>
      <w:r>
        <w:t>23.12.2024 № 1875</w:t>
      </w:r>
      <w:r w:rsidRPr="00980024">
        <w:t>.</w:t>
      </w:r>
      <w:bookmarkEnd w:id="12"/>
      <w:r w:rsidRPr="00105E6E">
        <w:t xml:space="preserve"> </w:t>
      </w:r>
      <w:bookmarkStart w:id="14" w:name="_Hlk188472094"/>
      <w:r>
        <w:t>Перечень кодов ОКПД 2 для целей определения порядка предоставления национального режима содержится в файле «</w:t>
      </w:r>
      <w:r w:rsidRPr="00C36AEC">
        <w:rPr>
          <w:b/>
        </w:rPr>
        <w:t>Коды ОКПД2 по позициям</w:t>
      </w:r>
      <w:r w:rsidRPr="00444600">
        <w:t>» являющ</w:t>
      </w:r>
      <w:r>
        <w:t>и</w:t>
      </w:r>
      <w:r w:rsidRPr="00444600">
        <w:t>мся неотъемлемой частью настоящего Извещения.</w:t>
      </w:r>
      <w:bookmarkEnd w:id="13"/>
      <w:bookmarkEnd w:id="14"/>
    </w:p>
    <w:p w:rsidR="004F07B3" w:rsidRPr="00B2673D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4D604B">
        <w:t>Закупоч</w:t>
      </w:r>
      <w:r w:rsidR="00E03ECB" w:rsidRPr="00B2673D">
        <w:t xml:space="preserve">ной </w:t>
      </w:r>
      <w:r w:rsidRPr="00B2673D">
        <w:t>документации:</w:t>
      </w:r>
    </w:p>
    <w:p w:rsidR="00A033B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 xml:space="preserve">в </w:t>
      </w:r>
      <w:r w:rsidR="00261C82">
        <w:rPr>
          <w:sz w:val="24"/>
        </w:rPr>
        <w:t>пункте</w:t>
      </w:r>
      <w:r w:rsidR="00345C40" w:rsidRPr="00B2673D">
        <w:rPr>
          <w:sz w:val="24"/>
        </w:rPr>
        <w:t xml:space="preserve"> 3 Извещения</w:t>
      </w:r>
      <w:r w:rsidRPr="00B2673D">
        <w:rPr>
          <w:sz w:val="24"/>
        </w:rPr>
        <w:t xml:space="preserve">, начиная с даты размещения настоящего </w:t>
      </w:r>
      <w:r w:rsidR="00530E03">
        <w:rPr>
          <w:sz w:val="24"/>
        </w:rPr>
        <w:t>Извеще</w:t>
      </w:r>
      <w:r w:rsidRPr="00B2673D">
        <w:rPr>
          <w:sz w:val="24"/>
        </w:rPr>
        <w:t>ния.</w:t>
      </w:r>
    </w:p>
    <w:p w:rsidR="004906CD" w:rsidRPr="00B2673D" w:rsidRDefault="001C4D21" w:rsidP="00F634D7">
      <w:pPr>
        <w:pStyle w:val="af8"/>
        <w:spacing w:before="0" w:line="240" w:lineRule="auto"/>
        <w:ind w:firstLine="709"/>
        <w:rPr>
          <w:sz w:val="24"/>
        </w:rPr>
      </w:pPr>
      <w:bookmarkStart w:id="1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5"/>
    </w:p>
    <w:p w:rsidR="005C1C51" w:rsidRPr="00B2673D" w:rsidRDefault="005C1C5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4D604B">
        <w:rPr>
          <w:sz w:val="24"/>
        </w:rPr>
        <w:t>Закупоч</w:t>
      </w:r>
      <w:r w:rsidR="00E03ECB" w:rsidRPr="00B2673D">
        <w:rPr>
          <w:sz w:val="24"/>
        </w:rPr>
        <w:t xml:space="preserve">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116BED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bookmarkStart w:id="16" w:name="_Hlk146803851"/>
      <w:r w:rsidRPr="00C725AA">
        <w:t xml:space="preserve">Дата начала предоставления разъяснений </w:t>
      </w:r>
      <w:r w:rsidR="004D604B">
        <w:t>Закупоч</w:t>
      </w:r>
      <w:r w:rsidRPr="00C725AA">
        <w:t>ной документации</w:t>
      </w:r>
      <w:r w:rsidRPr="00116BED">
        <w:t xml:space="preserve">: с даты публикации </w:t>
      </w:r>
      <w:r w:rsidR="00530E03">
        <w:t>Извеще</w:t>
      </w:r>
      <w:r w:rsidRPr="00116BED">
        <w:t>ния.</w:t>
      </w:r>
    </w:p>
    <w:p w:rsidR="00C725AA" w:rsidRPr="00C725AA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color w:val="548DD4"/>
        </w:rPr>
      </w:pPr>
      <w:r w:rsidRPr="00C725AA">
        <w:rPr>
          <w:iCs/>
        </w:rPr>
        <w:t xml:space="preserve">Дата окончания срока предоставления разъяснений </w:t>
      </w:r>
      <w:r w:rsidR="004D604B">
        <w:rPr>
          <w:iCs/>
        </w:rPr>
        <w:t>Закупоч</w:t>
      </w:r>
      <w:r w:rsidRPr="00C725AA">
        <w:rPr>
          <w:iCs/>
        </w:rPr>
        <w:t>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  <w:r w:rsidR="00116BED">
        <w:rPr>
          <w:bCs/>
          <w:iCs/>
        </w:rPr>
        <w:t>.</w:t>
      </w:r>
    </w:p>
    <w:p w:rsidR="00C725AA" w:rsidRPr="00116BED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bCs/>
          <w:iCs/>
        </w:rPr>
      </w:pPr>
      <w:r w:rsidRPr="00116BED">
        <w:rPr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6"/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</w:t>
      </w:r>
      <w:r w:rsidR="004D604B">
        <w:rPr>
          <w:rStyle w:val="FontStyle128"/>
          <w:sz w:val="24"/>
          <w:szCs w:val="24"/>
        </w:rPr>
        <w:t>Закупоч</w:t>
      </w:r>
      <w:r w:rsidRPr="00B2673D">
        <w:rPr>
          <w:rStyle w:val="FontStyle128"/>
          <w:sz w:val="24"/>
          <w:szCs w:val="24"/>
        </w:rPr>
        <w:t xml:space="preserve">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 xml:space="preserve">требованиями, установленными в </w:t>
      </w:r>
      <w:r w:rsidR="00FC3A27">
        <w:rPr>
          <w:rStyle w:val="FontStyle128"/>
          <w:sz w:val="24"/>
          <w:szCs w:val="24"/>
        </w:rPr>
        <w:t>Закупоч</w:t>
      </w:r>
      <w:r w:rsidR="00DB0D0E" w:rsidRPr="00B2673D">
        <w:rPr>
          <w:rStyle w:val="FontStyle128"/>
          <w:sz w:val="24"/>
          <w:szCs w:val="24"/>
        </w:rPr>
        <w:t>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2C5F6A">
        <w:rPr>
          <w:b/>
          <w:i/>
          <w:color w:val="548DD4"/>
        </w:rPr>
        <w:t xml:space="preserve">до </w:t>
      </w:r>
      <w:r w:rsidR="002C5F6A" w:rsidRPr="002C5F6A">
        <w:rPr>
          <w:b/>
          <w:i/>
          <w:color w:val="548DD4"/>
        </w:rPr>
        <w:t>12</w:t>
      </w:r>
      <w:r w:rsidR="005914BF" w:rsidRPr="002C5F6A">
        <w:rPr>
          <w:b/>
          <w:i/>
          <w:color w:val="548DD4"/>
        </w:rPr>
        <w:t>:</w:t>
      </w:r>
      <w:r w:rsidR="002C5F6A" w:rsidRPr="002C5F6A">
        <w:rPr>
          <w:b/>
          <w:i/>
          <w:color w:val="548DD4"/>
        </w:rPr>
        <w:t>00</w:t>
      </w:r>
      <w:r w:rsidR="005914BF" w:rsidRPr="002C5F6A">
        <w:rPr>
          <w:b/>
          <w:i/>
          <w:color w:val="548DD4"/>
        </w:rPr>
        <w:t xml:space="preserve"> (по московскому времени) «</w:t>
      </w:r>
      <w:r w:rsidR="002C5F6A" w:rsidRPr="002C5F6A">
        <w:rPr>
          <w:b/>
          <w:i/>
          <w:color w:val="548DD4"/>
        </w:rPr>
        <w:t>1</w:t>
      </w:r>
      <w:r w:rsidR="00221B3B">
        <w:rPr>
          <w:b/>
          <w:i/>
          <w:color w:val="548DD4"/>
        </w:rPr>
        <w:t>4</w:t>
      </w:r>
      <w:r w:rsidR="005914BF" w:rsidRPr="002C5F6A">
        <w:rPr>
          <w:b/>
          <w:i/>
          <w:color w:val="548DD4"/>
        </w:rPr>
        <w:t xml:space="preserve">» </w:t>
      </w:r>
      <w:r w:rsidR="00221B3B">
        <w:rPr>
          <w:b/>
          <w:i/>
          <w:color w:val="548DD4"/>
        </w:rPr>
        <w:t>апреля</w:t>
      </w:r>
      <w:r w:rsidR="005914BF" w:rsidRPr="002C5F6A">
        <w:rPr>
          <w:b/>
          <w:i/>
          <w:color w:val="548DD4"/>
        </w:rPr>
        <w:t xml:space="preserve"> 20</w:t>
      </w:r>
      <w:r w:rsidR="00EA742C" w:rsidRPr="002C5F6A">
        <w:rPr>
          <w:b/>
          <w:i/>
          <w:color w:val="548DD4"/>
        </w:rPr>
        <w:t>2</w:t>
      </w:r>
      <w:r w:rsidR="002C5F6A" w:rsidRPr="002C5F6A">
        <w:rPr>
          <w:b/>
          <w:i/>
          <w:color w:val="548DD4"/>
        </w:rPr>
        <w:t>5</w:t>
      </w:r>
      <w:r w:rsidR="005914BF" w:rsidRPr="002C5F6A">
        <w:rPr>
          <w:b/>
          <w:i/>
          <w:color w:val="548DD4"/>
        </w:rPr>
        <w:t xml:space="preserve"> года</w:t>
      </w:r>
      <w:r w:rsidR="00793214" w:rsidRPr="00B2673D">
        <w:t xml:space="preserve"> </w:t>
      </w:r>
      <w:r w:rsidR="00FE4106" w:rsidRPr="00B2673D">
        <w:t xml:space="preserve">через соответствующий функционал электронной торговой площадки, указанный в пункте 3 настоящего </w:t>
      </w:r>
      <w:r w:rsidR="00530E03">
        <w:t>Извеще</w:t>
      </w:r>
      <w:r w:rsidR="00FE4106" w:rsidRPr="00B2673D">
        <w:t>ния</w:t>
      </w:r>
      <w:r w:rsidR="00334C51" w:rsidRPr="00B2673D">
        <w:t>.</w:t>
      </w:r>
    </w:p>
    <w:p w:rsidR="00C725AA" w:rsidRPr="00C725AA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</w:pPr>
      <w:bookmarkStart w:id="17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Pr="00C725AA">
        <w:rPr>
          <w:i/>
          <w:color w:val="548DD4"/>
        </w:rPr>
        <w:t>Невозможно</w:t>
      </w:r>
      <w:r w:rsidR="009B5A8D">
        <w:rPr>
          <w:i/>
          <w:color w:val="548DD4"/>
        </w:rPr>
        <w:t>.</w:t>
      </w:r>
      <w:r w:rsidRPr="00C725AA">
        <w:rPr>
          <w:color w:val="548DD4"/>
        </w:rPr>
        <w:t xml:space="preserve">  </w:t>
      </w:r>
    </w:p>
    <w:bookmarkEnd w:id="17"/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="002C5F6A" w:rsidRPr="002C5F6A">
        <w:rPr>
          <w:b/>
          <w:i/>
          <w:color w:val="548DD4"/>
        </w:rPr>
        <w:t>«1</w:t>
      </w:r>
      <w:r w:rsidR="00221B3B">
        <w:rPr>
          <w:b/>
          <w:i/>
          <w:color w:val="548DD4"/>
        </w:rPr>
        <w:t>4</w:t>
      </w:r>
      <w:r w:rsidR="002C5F6A" w:rsidRPr="002C5F6A">
        <w:rPr>
          <w:b/>
          <w:i/>
          <w:color w:val="548DD4"/>
        </w:rPr>
        <w:t>»</w:t>
      </w:r>
      <w:r w:rsidR="00221B3B">
        <w:rPr>
          <w:b/>
          <w:i/>
          <w:color w:val="548DD4"/>
        </w:rPr>
        <w:t xml:space="preserve"> апреля</w:t>
      </w:r>
      <w:r w:rsidR="002C5F6A" w:rsidRPr="002C5F6A">
        <w:rPr>
          <w:b/>
          <w:i/>
          <w:color w:val="548DD4"/>
        </w:rPr>
        <w:t xml:space="preserve"> 2025 года.</w:t>
      </w:r>
    </w:p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="002C5F6A" w:rsidRPr="002C5F6A">
        <w:rPr>
          <w:b/>
          <w:i/>
          <w:color w:val="548DD4"/>
        </w:rPr>
        <w:lastRenderedPageBreak/>
        <w:t>«</w:t>
      </w:r>
      <w:r w:rsidR="002C5F6A">
        <w:rPr>
          <w:b/>
          <w:i/>
          <w:color w:val="548DD4"/>
        </w:rPr>
        <w:t>2</w:t>
      </w:r>
      <w:r w:rsidR="00506CDB">
        <w:rPr>
          <w:b/>
          <w:i/>
          <w:color w:val="548DD4"/>
        </w:rPr>
        <w:t>1</w:t>
      </w:r>
      <w:r w:rsidR="002C5F6A" w:rsidRPr="002C5F6A">
        <w:rPr>
          <w:b/>
          <w:i/>
          <w:color w:val="548DD4"/>
        </w:rPr>
        <w:t xml:space="preserve">» </w:t>
      </w:r>
      <w:r w:rsidR="00506CDB">
        <w:rPr>
          <w:b/>
          <w:i/>
          <w:color w:val="548DD4"/>
        </w:rPr>
        <w:t>апреля</w:t>
      </w:r>
      <w:bookmarkStart w:id="18" w:name="_GoBack"/>
      <w:bookmarkEnd w:id="18"/>
      <w:r w:rsidR="002C5F6A" w:rsidRPr="002C5F6A">
        <w:rPr>
          <w:b/>
          <w:i/>
          <w:color w:val="548DD4"/>
        </w:rPr>
        <w:t xml:space="preserve"> 2025 года.</w:t>
      </w:r>
      <w:r w:rsidR="003F5955">
        <w:rPr>
          <w:rStyle w:val="a9"/>
        </w:rPr>
        <w:footnoteReference w:id="2"/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 xml:space="preserve">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невозможно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</w:p>
    <w:p w:rsidR="00B2673D" w:rsidRPr="00B2673D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FC2DAC" w:rsidRDefault="00830285" w:rsidP="006F256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договора и/или возврата аванса и/или гарантийных обязательств:</w:t>
      </w:r>
      <w:r w:rsidR="00FC2DAC">
        <w:t xml:space="preserve"> </w:t>
      </w:r>
      <w:r w:rsidR="00954C1A" w:rsidRPr="00954C1A">
        <w:rPr>
          <w:b/>
        </w:rPr>
        <w:t>не</w:t>
      </w:r>
      <w:r w:rsidR="00954C1A" w:rsidRPr="00954C1A">
        <w:t xml:space="preserve">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установлено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Pr="00B2673D">
        <w:rPr>
          <w:i/>
          <w:color w:val="548DD4"/>
        </w:rPr>
        <w:t>в соответствии с Техническим заданием</w:t>
      </w:r>
      <w:r w:rsidR="00954C1A">
        <w:rPr>
          <w:i/>
          <w:color w:val="548DD4"/>
        </w:rPr>
        <w:t>.</w:t>
      </w:r>
    </w:p>
    <w:p w:rsidR="00247EF7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25762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D5526" w:rsidRPr="00B2673D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</w:t>
      </w:r>
      <w:r w:rsidR="00530E03">
        <w:t>Извеще</w:t>
      </w:r>
      <w:r w:rsidR="006D5526" w:rsidRPr="00B2673D">
        <w:t xml:space="preserve">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0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>
        <w:t>пункте</w:t>
      </w:r>
      <w:r w:rsidR="00BB263E">
        <w:t xml:space="preserve"> </w:t>
      </w:r>
      <w:r w:rsidRPr="00B2673D"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9B5A8D" w:rsidRDefault="006A4669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9B5A8D" w:rsidRPr="009B5A8D">
        <w:t>метод сопоставимых рыночных цен.</w:t>
      </w:r>
    </w:p>
    <w:p w:rsidR="006A4669" w:rsidRPr="00B2673D" w:rsidRDefault="006A4669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p w:rsidR="00B2673D" w:rsidRPr="00830285" w:rsidRDefault="00B2673D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sectPr w:rsidR="00B2673D" w:rsidRPr="00830285" w:rsidSect="003A3180">
      <w:headerReference w:type="first" r:id="rId11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C40" w:rsidRDefault="00371C40">
      <w:r>
        <w:separator/>
      </w:r>
    </w:p>
  </w:endnote>
  <w:endnote w:type="continuationSeparator" w:id="0">
    <w:p w:rsidR="00371C40" w:rsidRDefault="00371C40">
      <w:r>
        <w:continuationSeparator/>
      </w:r>
    </w:p>
  </w:endnote>
  <w:endnote w:type="continuationNotice" w:id="1">
    <w:p w:rsidR="00371C40" w:rsidRDefault="00371C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C40" w:rsidRDefault="00371C40">
      <w:r>
        <w:separator/>
      </w:r>
    </w:p>
  </w:footnote>
  <w:footnote w:type="continuationSeparator" w:id="0">
    <w:p w:rsidR="00371C40" w:rsidRDefault="00371C40">
      <w:r>
        <w:continuationSeparator/>
      </w:r>
    </w:p>
  </w:footnote>
  <w:footnote w:type="continuationNotice" w:id="1">
    <w:p w:rsidR="00371C40" w:rsidRDefault="00371C40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  <w:r w:rsidRPr="00D10611">
      <w:rPr>
        <w:noProof/>
        <w:snapToGrid/>
        <w:color w:val="44546A"/>
        <w:sz w:val="18"/>
        <w:szCs w:val="18"/>
      </w:rPr>
      <w:drawing>
        <wp:anchor distT="0" distB="0" distL="114300" distR="114300" simplePos="0" relativeHeight="251659264" behindDoc="0" locked="0" layoutInCell="1" allowOverlap="1" wp14:anchorId="1CC3466A" wp14:editId="0A71245B">
          <wp:simplePos x="0" y="0"/>
          <wp:positionH relativeFrom="margin">
            <wp:align>left</wp:align>
          </wp:positionH>
          <wp:positionV relativeFrom="paragraph">
            <wp:posOffset>106073</wp:posOffset>
          </wp:positionV>
          <wp:extent cx="1844040" cy="1366520"/>
          <wp:effectExtent l="0" t="0" r="3810" b="5080"/>
          <wp:wrapNone/>
          <wp:docPr id="1" name="Рисунок 1" descr="Печать_ТСК_яйц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Печать_ТСК_яйц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1366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b/>
        <w:snapToGrid/>
        <w:sz w:val="24"/>
        <w:szCs w:val="24"/>
      </w:rPr>
    </w:pPr>
    <w:r w:rsidRPr="00D10611">
      <w:rPr>
        <w:b/>
        <w:snapToGrid/>
        <w:sz w:val="24"/>
        <w:szCs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center"/>
      <w:rPr>
        <w:b/>
        <w:snapToGrid/>
        <w:color w:val="44546A"/>
        <w:sz w:val="18"/>
        <w:szCs w:val="18"/>
      </w:rPr>
    </w:pPr>
    <w:r w:rsidRPr="00D10611">
      <w:rPr>
        <w:b/>
        <w:snapToGrid/>
        <w:sz w:val="24"/>
        <w:szCs w:val="24"/>
      </w:rPr>
      <w:t>«Интер РАО - Электрогенерация»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24"/>
      </w:rPr>
    </w:pPr>
    <w:r w:rsidRPr="00D10611">
      <w:rPr>
        <w:snapToGrid/>
        <w:sz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firstLine="3402"/>
      <w:jc w:val="center"/>
      <w:rPr>
        <w:snapToGrid/>
        <w:sz w:val="16"/>
        <w:szCs w:val="24"/>
      </w:rPr>
    </w:pPr>
    <w:r w:rsidRPr="00D10611">
      <w:rPr>
        <w:b/>
        <w:snapToGrid/>
        <w:sz w:val="24"/>
        <w:szCs w:val="24"/>
      </w:rPr>
      <w:t>«ТЕПЛОВАЯ СЕРВИСНАЯ КОМПАНИЯ»</w:t>
    </w: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16"/>
        <w:szCs w:val="16"/>
      </w:rPr>
    </w:pP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169600, Республика Коми, г. Печора, ул. Советская, д. 37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 xml:space="preserve">р/с № 40702810128100000680 в Коми ОСБ № </w:t>
    </w:r>
    <w:smartTag w:uri="urn:schemas-microsoft-com:office:smarttags" w:element="metricconverter">
      <w:smartTagPr>
        <w:attr w:name="ProductID" w:val="8617 г"/>
      </w:smartTagPr>
      <w:r w:rsidRPr="00D10611">
        <w:rPr>
          <w:snapToGrid/>
          <w:sz w:val="16"/>
          <w:szCs w:val="16"/>
        </w:rPr>
        <w:t>8617 г</w:t>
      </w:r>
    </w:smartTag>
    <w:r w:rsidRPr="00D10611">
      <w:rPr>
        <w:snapToGrid/>
        <w:sz w:val="16"/>
        <w:szCs w:val="16"/>
      </w:rPr>
      <w:t>. Сыктывкар,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к/счет 30101810400000000640, БИК 048702640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ИНН: 1105016225, КПП: 110501001</w:t>
    </w:r>
  </w:p>
  <w:p w:rsidR="00D10611" w:rsidRPr="00D10611" w:rsidRDefault="00D10611" w:rsidP="00D10611">
    <w:pPr>
      <w:spacing w:line="240" w:lineRule="auto"/>
      <w:ind w:firstLine="3402"/>
      <w:jc w:val="left"/>
      <w:rPr>
        <w:b/>
        <w:i/>
        <w:snapToGrid/>
        <w:color w:val="44546A"/>
        <w:sz w:val="18"/>
        <w:szCs w:val="18"/>
      </w:rPr>
    </w:pPr>
    <w:r w:rsidRPr="00D10611">
      <w:rPr>
        <w:snapToGrid/>
        <w:sz w:val="16"/>
        <w:szCs w:val="16"/>
      </w:rPr>
      <w:t>Тел: +7(82142)7-99-89, факс: +7(82142)7-97-00, e–</w:t>
    </w:r>
    <w:proofErr w:type="spellStart"/>
    <w:r w:rsidRPr="00D10611">
      <w:rPr>
        <w:snapToGrid/>
        <w:sz w:val="16"/>
        <w:szCs w:val="16"/>
      </w:rPr>
      <w:t>mail</w:t>
    </w:r>
    <w:proofErr w:type="spellEnd"/>
    <w:r w:rsidRPr="00D10611">
      <w:rPr>
        <w:snapToGrid/>
        <w:sz w:val="16"/>
        <w:szCs w:val="16"/>
      </w:rPr>
      <w:t xml:space="preserve">: </w:t>
    </w:r>
    <w:hyperlink r:id="rId2" w:history="1">
      <w:r w:rsidRPr="00D10611">
        <w:rPr>
          <w:snapToGrid/>
          <w:sz w:val="16"/>
          <w:szCs w:val="16"/>
          <w:u w:val="single"/>
        </w:rPr>
        <w:t>secretary_tsk-komi@interrao.ru</w:t>
      </w:r>
    </w:hyperlink>
    <w:r w:rsidRPr="00D10611">
      <w:rPr>
        <w:snapToGrid/>
        <w:sz w:val="16"/>
        <w:szCs w:val="16"/>
      </w:rPr>
      <w:t xml:space="preserve"> </w:t>
    </w:r>
  </w:p>
  <w:p w:rsidR="00D10611" w:rsidRPr="00111571" w:rsidRDefault="00D10611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52D7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16092"/>
    <w:rsid w:val="00221B3B"/>
    <w:rsid w:val="002311AD"/>
    <w:rsid w:val="00247EF7"/>
    <w:rsid w:val="0025132C"/>
    <w:rsid w:val="00261C82"/>
    <w:rsid w:val="00263C7B"/>
    <w:rsid w:val="00270A68"/>
    <w:rsid w:val="0027502F"/>
    <w:rsid w:val="00281922"/>
    <w:rsid w:val="00282789"/>
    <w:rsid w:val="00287259"/>
    <w:rsid w:val="00287C63"/>
    <w:rsid w:val="002A3B4F"/>
    <w:rsid w:val="002A3D20"/>
    <w:rsid w:val="002A48AF"/>
    <w:rsid w:val="002A4ECB"/>
    <w:rsid w:val="002B658F"/>
    <w:rsid w:val="002C5F6A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1C40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07F87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D604B"/>
    <w:rsid w:val="004E0FA7"/>
    <w:rsid w:val="004F07B3"/>
    <w:rsid w:val="004F6184"/>
    <w:rsid w:val="00506CDB"/>
    <w:rsid w:val="00514C3C"/>
    <w:rsid w:val="00530E03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659C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2B74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05DAE"/>
    <w:rsid w:val="00820C7A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54C1A"/>
    <w:rsid w:val="00961DCE"/>
    <w:rsid w:val="00963017"/>
    <w:rsid w:val="00973C58"/>
    <w:rsid w:val="009869D5"/>
    <w:rsid w:val="009B5A8D"/>
    <w:rsid w:val="009C2B48"/>
    <w:rsid w:val="009D21D0"/>
    <w:rsid w:val="009D4401"/>
    <w:rsid w:val="009E371D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B5EB8"/>
    <w:rsid w:val="00AC2C43"/>
    <w:rsid w:val="00AC3974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63E"/>
    <w:rsid w:val="00BB4372"/>
    <w:rsid w:val="00BB48C7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10611"/>
    <w:rsid w:val="00D31D1E"/>
    <w:rsid w:val="00D35105"/>
    <w:rsid w:val="00D42D40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134D"/>
    <w:rsid w:val="00E369C0"/>
    <w:rsid w:val="00E3757A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34D7"/>
    <w:rsid w:val="00F70945"/>
    <w:rsid w:val="00F77463"/>
    <w:rsid w:val="00F8393F"/>
    <w:rsid w:val="00F92A7E"/>
    <w:rsid w:val="00F96C1D"/>
    <w:rsid w:val="00FB624C"/>
    <w:rsid w:val="00FC2DAC"/>
    <w:rsid w:val="00FC3A27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392767E0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tskaya_iv@interra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nterrao-zakupki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orobeva_vy@interrao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y_tsk-komi@interrao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F25FD-8108-40FD-BDDC-33172501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940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Воробьева В. Ю.</cp:lastModifiedBy>
  <cp:revision>14</cp:revision>
  <cp:lastPrinted>2012-02-06T04:25:00Z</cp:lastPrinted>
  <dcterms:created xsi:type="dcterms:W3CDTF">2025-01-28T06:26:00Z</dcterms:created>
  <dcterms:modified xsi:type="dcterms:W3CDTF">2025-03-28T09:53:00Z</dcterms:modified>
</cp:coreProperties>
</file>